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42" w:rsidRPr="000F51D4" w:rsidRDefault="00CD0297" w:rsidP="00936242">
      <w:pPr>
        <w:rPr>
          <w:rFonts w:ascii="Arial" w:eastAsia="Calibri" w:hAnsi="Arial" w:cs="Arial"/>
          <w:b/>
          <w:sz w:val="24"/>
          <w:szCs w:val="24"/>
        </w:rPr>
      </w:pPr>
      <w:r w:rsidRPr="000F51D4">
        <w:rPr>
          <w:rFonts w:ascii="Arial" w:eastAsia="Calibri" w:hAnsi="Arial" w:cs="Arial"/>
          <w:b/>
          <w:sz w:val="24"/>
          <w:szCs w:val="24"/>
        </w:rPr>
        <w:t>LANCASHIRE COUNTY COUNCIL – ADULT SOCIAL CARE</w:t>
      </w:r>
    </w:p>
    <w:p w:rsidR="00936242" w:rsidRPr="000F51D4" w:rsidRDefault="00CD0297" w:rsidP="00936242">
      <w:pPr>
        <w:rPr>
          <w:rFonts w:ascii="Arial" w:eastAsia="Calibri" w:hAnsi="Arial" w:cs="Arial"/>
          <w:b/>
          <w:sz w:val="24"/>
          <w:szCs w:val="24"/>
        </w:rPr>
      </w:pPr>
      <w:r w:rsidRPr="000F51D4">
        <w:rPr>
          <w:rFonts w:ascii="Arial" w:eastAsia="Calibri" w:hAnsi="Arial" w:cs="Arial"/>
          <w:b/>
          <w:sz w:val="24"/>
          <w:szCs w:val="24"/>
        </w:rPr>
        <w:t>TABLE OF FEES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332"/>
        <w:gridCol w:w="1803"/>
        <w:gridCol w:w="1804"/>
      </w:tblGrid>
      <w:tr w:rsidR="0096076D" w:rsidTr="00102C57">
        <w:tc>
          <w:tcPr>
            <w:tcW w:w="2518" w:type="dxa"/>
            <w:shd w:val="clear" w:color="auto" w:fill="D9D9D9"/>
          </w:tcPr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2020/21</w:t>
            </w:r>
          </w:p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Fee rate</w:t>
            </w:r>
          </w:p>
        </w:tc>
        <w:tc>
          <w:tcPr>
            <w:tcW w:w="1332" w:type="dxa"/>
            <w:shd w:val="clear" w:color="auto" w:fill="D9D9D9"/>
          </w:tcPr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% Uplift</w:t>
            </w:r>
          </w:p>
        </w:tc>
        <w:tc>
          <w:tcPr>
            <w:tcW w:w="1803" w:type="dxa"/>
            <w:shd w:val="clear" w:color="auto" w:fill="D9D9D9"/>
          </w:tcPr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2021/22</w:t>
            </w:r>
          </w:p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Fee rate</w:t>
            </w:r>
          </w:p>
        </w:tc>
        <w:tc>
          <w:tcPr>
            <w:tcW w:w="1804" w:type="dxa"/>
            <w:shd w:val="clear" w:color="auto" w:fill="D9D9D9"/>
          </w:tcPr>
          <w:p w:rsidR="00936242" w:rsidRPr="000F51D4" w:rsidRDefault="00CD0297" w:rsidP="009362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Effective from: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HOME CARE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 xml:space="preserve">Home Care </w:t>
            </w:r>
          </w:p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Off framework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Homecare</w:t>
            </w:r>
          </w:p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Framework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Nov 21 – Contract year 5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SUPPORTED LIVING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Waking hour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£16.03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3.75%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£16.64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Sleep-in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£61.18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3.75%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£63.48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OLDER PEOPLE</w:t>
            </w:r>
          </w:p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RES &amp; NURSING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Nursing - Standard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£559.41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£582.07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Nursing - Dementia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£660.77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£687.54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Residential - Standard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£487.73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£507.49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Residential - Higher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£553.83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£576.27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Residential - Dementia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£595.07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£619.18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Room premium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£10.00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0.00%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£10.00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RES &amp; NURSING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 xml:space="preserve">Mental Health 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3.55%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3.55%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EXTRACARE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Extracare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 xml:space="preserve">Different schemes with differing rates. Uplift in </w:t>
            </w:r>
            <w:r w:rsidRPr="000F51D4">
              <w:rPr>
                <w:rFonts w:ascii="Arial" w:eastAsia="Calibri" w:hAnsi="Arial" w:cs="Arial"/>
                <w:sz w:val="24"/>
                <w:szCs w:val="24"/>
              </w:rPr>
              <w:t>line with contract anniversary.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Extracare</w:t>
            </w:r>
          </w:p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(Sheltered Housing Based)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CARERS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Annual - Lower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£244.29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2.18%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£249.62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Annual - Higher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£361.12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2.18%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£368.99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SHARED LIVES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2.18%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DAY SERVICES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Older People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3.45%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On contract anniversary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lastRenderedPageBreak/>
              <w:t>MH/LD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3.45%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DIRECT PAYMENTS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– per allocated budget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per allocated budget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05/04/2021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MENTAL HEALTH REHAB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3.55%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 xml:space="preserve">Nov 21 – contract year 5. </w:t>
            </w: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76D" w:rsidTr="00102C57">
        <w:tc>
          <w:tcPr>
            <w:tcW w:w="2518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b/>
                <w:sz w:val="24"/>
                <w:szCs w:val="24"/>
              </w:rPr>
              <w:t>REABLEMENT</w:t>
            </w:r>
          </w:p>
        </w:tc>
        <w:tc>
          <w:tcPr>
            <w:tcW w:w="1559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332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4.06%</w:t>
            </w:r>
          </w:p>
        </w:tc>
        <w:tc>
          <w:tcPr>
            <w:tcW w:w="1803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Various rates</w:t>
            </w:r>
          </w:p>
        </w:tc>
        <w:tc>
          <w:tcPr>
            <w:tcW w:w="1804" w:type="dxa"/>
            <w:shd w:val="clear" w:color="auto" w:fill="auto"/>
          </w:tcPr>
          <w:p w:rsidR="00936242" w:rsidRPr="000F51D4" w:rsidRDefault="00CD0297" w:rsidP="00936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51D4">
              <w:rPr>
                <w:rFonts w:ascii="Arial" w:eastAsia="Calibri" w:hAnsi="Arial" w:cs="Arial"/>
                <w:sz w:val="24"/>
                <w:szCs w:val="24"/>
              </w:rPr>
              <w:t>Contract anniversary</w:t>
            </w:r>
          </w:p>
        </w:tc>
      </w:tr>
    </w:tbl>
    <w:p w:rsidR="00936242" w:rsidRPr="000F51D4" w:rsidRDefault="00CD0297" w:rsidP="00936242">
      <w:pPr>
        <w:rPr>
          <w:rFonts w:ascii="Arial" w:eastAsia="Calibri" w:hAnsi="Arial" w:cs="Arial"/>
          <w:b/>
          <w:sz w:val="24"/>
          <w:szCs w:val="24"/>
        </w:rPr>
      </w:pPr>
    </w:p>
    <w:p w:rsidR="00936242" w:rsidRPr="000F51D4" w:rsidRDefault="00CD0297" w:rsidP="00936242">
      <w:pPr>
        <w:rPr>
          <w:rFonts w:ascii="Arial" w:eastAsia="Calibri" w:hAnsi="Arial" w:cs="Arial"/>
          <w:b/>
          <w:sz w:val="24"/>
          <w:szCs w:val="24"/>
        </w:rPr>
      </w:pPr>
      <w:r w:rsidRPr="000F51D4">
        <w:rPr>
          <w:rFonts w:ascii="Arial" w:eastAsia="Calibri" w:hAnsi="Arial" w:cs="Arial"/>
          <w:b/>
          <w:sz w:val="24"/>
          <w:szCs w:val="24"/>
        </w:rPr>
        <w:t>Various rates</w:t>
      </w:r>
    </w:p>
    <w:p w:rsidR="00936242" w:rsidRPr="000F51D4" w:rsidRDefault="00CD0297" w:rsidP="00936242">
      <w:pPr>
        <w:rPr>
          <w:rFonts w:ascii="Arial" w:eastAsia="Calibri" w:hAnsi="Arial" w:cs="Arial"/>
          <w:sz w:val="24"/>
          <w:szCs w:val="24"/>
        </w:rPr>
      </w:pPr>
      <w:r w:rsidRPr="000F51D4">
        <w:rPr>
          <w:rFonts w:ascii="Arial" w:eastAsia="Calibri" w:hAnsi="Arial" w:cs="Arial"/>
          <w:sz w:val="24"/>
          <w:szCs w:val="24"/>
        </w:rPr>
        <w:t>Where "various rates" is indicated:</w:t>
      </w:r>
    </w:p>
    <w:p w:rsidR="00936242" w:rsidRPr="000F51D4" w:rsidRDefault="00CD0297" w:rsidP="00CD0297">
      <w:pPr>
        <w:jc w:val="both"/>
        <w:rPr>
          <w:rFonts w:ascii="Arial" w:eastAsia="Calibri" w:hAnsi="Arial" w:cs="Arial"/>
          <w:sz w:val="24"/>
          <w:szCs w:val="24"/>
        </w:rPr>
      </w:pPr>
      <w:r w:rsidRPr="000F51D4">
        <w:rPr>
          <w:rFonts w:ascii="Arial" w:eastAsia="Calibri" w:hAnsi="Arial" w:cs="Arial"/>
          <w:sz w:val="24"/>
          <w:szCs w:val="24"/>
        </w:rPr>
        <w:t xml:space="preserve">Individual providers hold contracts </w:t>
      </w:r>
      <w:r w:rsidRPr="000F51D4">
        <w:rPr>
          <w:rFonts w:ascii="Arial" w:eastAsia="Calibri" w:hAnsi="Arial" w:cs="Arial"/>
          <w:sz w:val="24"/>
          <w:szCs w:val="24"/>
        </w:rPr>
        <w:t>with Lancashire County Council at different rates therefore these indiv</w:t>
      </w:r>
      <w:bookmarkStart w:id="0" w:name="_GoBack"/>
      <w:bookmarkEnd w:id="0"/>
      <w:r w:rsidRPr="000F51D4">
        <w:rPr>
          <w:rFonts w:ascii="Arial" w:eastAsia="Calibri" w:hAnsi="Arial" w:cs="Arial"/>
          <w:sz w:val="24"/>
          <w:szCs w:val="24"/>
        </w:rPr>
        <w:t>idual rates will be uplifted at the relevant percentage based on their current contract price. Unless indicated otherwise, these rates will be uplifted on the anniversary of their contr</w:t>
      </w:r>
      <w:r w:rsidRPr="000F51D4">
        <w:rPr>
          <w:rFonts w:ascii="Arial" w:eastAsia="Calibri" w:hAnsi="Arial" w:cs="Arial"/>
          <w:sz w:val="24"/>
          <w:szCs w:val="24"/>
        </w:rPr>
        <w:t>act start date in the financial year 2021/22 (April – March).</w:t>
      </w:r>
    </w:p>
    <w:p w:rsidR="00D14CEF" w:rsidRDefault="00CD0297"/>
    <w:sectPr w:rsidR="00D1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D"/>
    <w:rsid w:val="008C2439"/>
    <w:rsid w:val="0096076D"/>
    <w:rsid w:val="00C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5A6C-D562-4950-BDD7-7495CFD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3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42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4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42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4" ma:contentTypeDescription="Create a new document." ma:contentTypeScope="" ma:versionID="4ded7bc63afec7c77e991e75ec76f926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e9f9dac989140465f80beae7d2fb1b68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B8293-DA88-4F2E-A499-F73FB52F1F6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b36aaf7-c0ad-4e0a-93b7-c73b1e4a96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6D279-C88C-4546-BA6D-E37CC640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EC4BA-81CE-4C4E-9687-B0969D8F0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1785</Characters>
  <Application>Microsoft Office Word</Application>
  <DocSecurity>0</DocSecurity>
  <Lines>14</Lines>
  <Paragraphs>4</Paragraphs>
  <ScaleCrop>false</ScaleCrop>
  <Company>Lancashire County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Joanne</dc:creator>
  <cp:lastModifiedBy>Gorman, Dave</cp:lastModifiedBy>
  <cp:revision>8</cp:revision>
  <dcterms:created xsi:type="dcterms:W3CDTF">2021-01-21T11:38:00Z</dcterms:created>
  <dcterms:modified xsi:type="dcterms:W3CDTF">2021-01-22T07:46:00Z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